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97B40" w14:textId="39CB7BB4" w:rsidR="008F543E" w:rsidRDefault="008F543E" w:rsidP="008F543E">
      <w:pPr>
        <w:pStyle w:val="Title"/>
        <w:rPr>
          <w:lang w:val="en-US"/>
        </w:rPr>
      </w:pPr>
      <w:bookmarkStart w:id="0" w:name="_GoBack"/>
      <w:bookmarkEnd w:id="0"/>
      <w:r>
        <w:rPr>
          <w:lang w:val="en-US"/>
        </w:rPr>
        <w:t xml:space="preserve">Text </w:t>
      </w:r>
      <w:r w:rsidR="006840AD">
        <w:rPr>
          <w:lang w:val="en-US"/>
        </w:rPr>
        <w:t xml:space="preserve">Extracts </w:t>
      </w:r>
      <w:r w:rsidR="00694674">
        <w:rPr>
          <w:lang w:val="en-US"/>
        </w:rPr>
        <w:t>from</w:t>
      </w:r>
      <w:r>
        <w:rPr>
          <w:lang w:val="en-US"/>
        </w:rPr>
        <w:t xml:space="preserve"> Video</w:t>
      </w:r>
    </w:p>
    <w:p w14:paraId="208823D9" w14:textId="21D3F18F" w:rsidR="008F543E" w:rsidRDefault="008F543E" w:rsidP="008F543E">
      <w:pPr>
        <w:rPr>
          <w:lang w:val="en-US"/>
        </w:rPr>
      </w:pPr>
    </w:p>
    <w:p w14:paraId="5AE6B77D" w14:textId="1105D6D5" w:rsidR="008F543E" w:rsidRPr="008F543E" w:rsidRDefault="008F543E" w:rsidP="008F543E">
      <w:pPr>
        <w:pStyle w:val="Heading1"/>
        <w:rPr>
          <w:color w:val="000000" w:themeColor="text1"/>
          <w:lang w:val="en-US"/>
        </w:rPr>
      </w:pPr>
      <w:r w:rsidRPr="008F543E">
        <w:rPr>
          <w:color w:val="000000" w:themeColor="text1"/>
          <w:lang w:val="en-US"/>
        </w:rPr>
        <w:t xml:space="preserve">Original </w:t>
      </w:r>
      <w:r>
        <w:rPr>
          <w:color w:val="000000" w:themeColor="text1"/>
          <w:lang w:val="en-US"/>
        </w:rPr>
        <w:t>Text Using One Reference Source</w:t>
      </w:r>
    </w:p>
    <w:p w14:paraId="4AB16FD0" w14:textId="77777777" w:rsidR="008F543E" w:rsidRDefault="008F543E" w:rsidP="008F543E">
      <w:pPr>
        <w:rPr>
          <w:lang w:val="en-US"/>
        </w:rPr>
      </w:pPr>
    </w:p>
    <w:p w14:paraId="76AB49A4" w14:textId="77777777" w:rsidR="008F543E" w:rsidRDefault="008F543E" w:rsidP="008F543E">
      <w:pPr>
        <w:spacing w:line="276" w:lineRule="auto"/>
        <w:rPr>
          <w:lang w:val="en-US"/>
        </w:rPr>
      </w:pPr>
      <w:r w:rsidRPr="008F543E">
        <w:rPr>
          <w:lang w:val="en-US"/>
        </w:rPr>
        <w:t>Kumar (2019:4) considers the term </w:t>
      </w:r>
      <w:r w:rsidRPr="008F543E">
        <w:rPr>
          <w:i/>
          <w:iCs/>
          <w:lang w:val="en-US"/>
        </w:rPr>
        <w:t>research</w:t>
      </w:r>
      <w:r w:rsidRPr="008F543E">
        <w:rPr>
          <w:lang w:val="en-US"/>
        </w:rPr>
        <w:t> within the social sciences as “a way of thinking” as well as a “set of skills”; research is characterised by exploring answers to a research question. </w:t>
      </w:r>
    </w:p>
    <w:p w14:paraId="226C70C7" w14:textId="141B4ED0" w:rsidR="008F543E" w:rsidRPr="008F543E" w:rsidRDefault="008F543E" w:rsidP="008F543E">
      <w:pPr>
        <w:spacing w:line="276" w:lineRule="auto"/>
      </w:pPr>
      <w:r w:rsidRPr="008F543E">
        <w:rPr>
          <w:lang w:val="en-US"/>
        </w:rPr>
        <w:t> </w:t>
      </w:r>
    </w:p>
    <w:p w14:paraId="352F5371" w14:textId="24350EBE" w:rsidR="008F543E" w:rsidRDefault="008F543E" w:rsidP="008F543E">
      <w:pPr>
        <w:spacing w:line="276" w:lineRule="auto"/>
        <w:rPr>
          <w:lang w:val="en-US"/>
        </w:rPr>
      </w:pPr>
      <w:r w:rsidRPr="008F543E">
        <w:rPr>
          <w:lang w:val="en-US"/>
        </w:rPr>
        <w:t>Research is an “an integral part of good professional practice in many professions” (Kumar, 2019:4). The purpose of research is to influence professional practice (Kumar, 2019), for example, this could include reviewing policies and procedures which could impact the outcomes relating to those associated with the context of the study. </w:t>
      </w:r>
    </w:p>
    <w:p w14:paraId="228353BC" w14:textId="77777777" w:rsidR="008F543E" w:rsidRPr="008F543E" w:rsidRDefault="008F543E" w:rsidP="008F543E">
      <w:pPr>
        <w:spacing w:line="276" w:lineRule="auto"/>
      </w:pPr>
    </w:p>
    <w:p w14:paraId="73A0E506" w14:textId="77777777" w:rsidR="008F543E" w:rsidRPr="008F543E" w:rsidRDefault="008F543E" w:rsidP="008F543E">
      <w:pPr>
        <w:spacing w:line="276" w:lineRule="auto"/>
      </w:pPr>
      <w:r w:rsidRPr="008F543E">
        <w:rPr>
          <w:lang w:val="en-US"/>
        </w:rPr>
        <w:t>There are a wide range of implications for social research. To illustrate, Kumar (2019) shares examples of practice where research has had a positive influence upon a range of professions such as health, education, and business - both directly and indirectly. Furthermore, Kumar (2019) adds that these can be viewed from the perspectives of the service provider; the administrator, manager and/or planner; the consumer and the professional. This is important because each can provide perspectives which can be viewed both individually or holistically, depending on the aim of the study. </w:t>
      </w:r>
    </w:p>
    <w:p w14:paraId="07BF663B" w14:textId="77777777" w:rsidR="008F543E" w:rsidRDefault="008F543E" w:rsidP="008F543E">
      <w:pPr>
        <w:spacing w:line="276" w:lineRule="auto"/>
        <w:rPr>
          <w:lang w:val="en-US"/>
        </w:rPr>
      </w:pPr>
    </w:p>
    <w:p w14:paraId="7E7F0240" w14:textId="23301C6E" w:rsidR="008F543E" w:rsidRPr="008F543E" w:rsidRDefault="008F543E" w:rsidP="008F543E">
      <w:pPr>
        <w:spacing w:line="276" w:lineRule="auto"/>
      </w:pPr>
      <w:r w:rsidRPr="008F543E">
        <w:rPr>
          <w:lang w:val="en-US"/>
        </w:rPr>
        <w:t>Nonetheless, research is not without its challenges; Kumar (2019) highlights issues relating to resources (including funding), logistical details, and methodological aspects that the researcher(s) would need to be mindful in the planning phases of the research.</w:t>
      </w:r>
    </w:p>
    <w:p w14:paraId="21C09812" w14:textId="77777777" w:rsidR="008F543E" w:rsidRDefault="008F543E" w:rsidP="008F543E">
      <w:pPr>
        <w:spacing w:line="276" w:lineRule="auto"/>
        <w:rPr>
          <w:lang w:val="en-US"/>
        </w:rPr>
      </w:pPr>
    </w:p>
    <w:p w14:paraId="698640D1" w14:textId="54C196BC" w:rsidR="008F543E" w:rsidRPr="008F543E" w:rsidRDefault="008F543E" w:rsidP="008F543E">
      <w:pPr>
        <w:spacing w:line="276" w:lineRule="auto"/>
      </w:pPr>
      <w:r w:rsidRPr="008F543E">
        <w:rPr>
          <w:lang w:val="en-US"/>
        </w:rPr>
        <w:t>It is evident from the argument presented that research in the social sciences is essential in understanding and developing professional practice (Kumar, 2019,) particularly in an evolving and fluid climate impacted by societal and economic influences. Despite its benefits, good research requires researchers who have a comprehensive understanding of the research process, including its limitations, to navigate and mitigate these (</w:t>
      </w:r>
      <w:r w:rsidRPr="008F543E">
        <w:rPr>
          <w:i/>
          <w:iCs/>
          <w:lang w:val="en-US"/>
        </w:rPr>
        <w:t>ibid</w:t>
      </w:r>
      <w:r w:rsidRPr="008F543E">
        <w:rPr>
          <w:lang w:val="en-US"/>
        </w:rPr>
        <w:t>).</w:t>
      </w:r>
    </w:p>
    <w:p w14:paraId="21084E32" w14:textId="7496A1FC" w:rsidR="00203C31" w:rsidRDefault="001E2EFF"/>
    <w:p w14:paraId="51D12A45" w14:textId="24CF32BC" w:rsidR="008F543E" w:rsidRPr="008F543E" w:rsidRDefault="008F543E" w:rsidP="008F543E">
      <w:pPr>
        <w:pStyle w:val="Heading1"/>
        <w:rPr>
          <w:color w:val="000000" w:themeColor="text1"/>
        </w:rPr>
      </w:pPr>
      <w:r w:rsidRPr="008F543E">
        <w:rPr>
          <w:color w:val="000000" w:themeColor="text1"/>
        </w:rPr>
        <w:t xml:space="preserve">Revised Text Synthesising a Range of </w:t>
      </w:r>
      <w:r>
        <w:rPr>
          <w:color w:val="000000" w:themeColor="text1"/>
        </w:rPr>
        <w:t>Sources of Reference</w:t>
      </w:r>
    </w:p>
    <w:p w14:paraId="6A698178" w14:textId="77777777" w:rsidR="008F543E" w:rsidRDefault="008F543E"/>
    <w:p w14:paraId="7A95968C" w14:textId="4CB1311A" w:rsidR="008F543E" w:rsidRPr="008F543E" w:rsidRDefault="008F543E" w:rsidP="008F543E">
      <w:pPr>
        <w:spacing w:line="276" w:lineRule="auto"/>
      </w:pPr>
      <w:r w:rsidRPr="008F543E">
        <w:rPr>
          <w:b/>
          <w:bCs/>
          <w:lang w:val="en-US"/>
        </w:rPr>
        <w:t>Bhattacherjee (2012) </w:t>
      </w:r>
      <w:r w:rsidRPr="008F543E">
        <w:rPr>
          <w:lang w:val="en-US"/>
        </w:rPr>
        <w:t>argues that definitions of research vary. Kumar (2019:4) considers the term </w:t>
      </w:r>
      <w:r w:rsidRPr="008F543E">
        <w:rPr>
          <w:i/>
          <w:iCs/>
          <w:lang w:val="en-US"/>
        </w:rPr>
        <w:t>research</w:t>
      </w:r>
      <w:r w:rsidRPr="008F543E">
        <w:rPr>
          <w:lang w:val="en-US"/>
        </w:rPr>
        <w:t> within the social sciences as “a way of thinking” as well as a “set of skills”; research is characterised by exploring answers to a research question. Furthermore, </w:t>
      </w:r>
      <w:r w:rsidRPr="008F543E">
        <w:rPr>
          <w:b/>
          <w:bCs/>
          <w:lang w:val="en-US"/>
        </w:rPr>
        <w:t>Bastow et al. (2014:xii)</w:t>
      </w:r>
      <w:r w:rsidRPr="008F543E">
        <w:rPr>
          <w:lang w:val="en-US"/>
        </w:rPr>
        <w:t xml:space="preserve"> assert research in the social sciences focuses on “shifting human behaviours” arguing research in the social sciences cannot be proven logistically, instead conclusions are based on generalisations. This contrasts with research in other disciplines </w:t>
      </w:r>
      <w:r w:rsidRPr="008F543E">
        <w:rPr>
          <w:lang w:val="en-US"/>
        </w:rPr>
        <w:lastRenderedPageBreak/>
        <w:t xml:space="preserve">such as </w:t>
      </w:r>
      <w:r w:rsidR="002659E6">
        <w:rPr>
          <w:lang w:val="en-US"/>
        </w:rPr>
        <w:t xml:space="preserve">the </w:t>
      </w:r>
      <w:r w:rsidRPr="008F543E">
        <w:rPr>
          <w:lang w:val="en-US"/>
        </w:rPr>
        <w:t>natural sciences, including physical and earth sciences for example, which are considered “very precise, accurate, deterministic, and independent of the person making the scientific observations” </w:t>
      </w:r>
      <w:r w:rsidRPr="008F543E">
        <w:rPr>
          <w:b/>
          <w:bCs/>
          <w:lang w:val="en-US"/>
        </w:rPr>
        <w:t>(Bhattacherjee, 2012:1-2)</w:t>
      </w:r>
      <w:r w:rsidRPr="008F543E">
        <w:rPr>
          <w:lang w:val="en-US"/>
        </w:rPr>
        <w:t>. Similarly, </w:t>
      </w:r>
      <w:r w:rsidRPr="008F543E">
        <w:rPr>
          <w:b/>
          <w:bCs/>
          <w:lang w:val="en-US"/>
        </w:rPr>
        <w:t>Langdridge and Hagger-Johnson (2013) </w:t>
      </w:r>
      <w:r w:rsidRPr="008F543E">
        <w:rPr>
          <w:lang w:val="en-US"/>
        </w:rPr>
        <w:t>distinguish between the social sciences and scientific research, which accordingly should be understood within their own context. </w:t>
      </w:r>
    </w:p>
    <w:p w14:paraId="032146EF" w14:textId="1B4A4798" w:rsidR="008F543E" w:rsidRDefault="008F543E" w:rsidP="008F543E">
      <w:pPr>
        <w:spacing w:line="276" w:lineRule="auto"/>
      </w:pPr>
    </w:p>
    <w:p w14:paraId="4D2FC373" w14:textId="3A33BA62" w:rsidR="008F543E" w:rsidRPr="008F543E" w:rsidRDefault="008F543E" w:rsidP="008F543E">
      <w:pPr>
        <w:spacing w:line="276" w:lineRule="auto"/>
      </w:pPr>
      <w:r w:rsidRPr="008F543E">
        <w:rPr>
          <w:lang w:val="en-US"/>
        </w:rPr>
        <w:t>Research is an “an integral part of good professional practice in many professions” (Kumar, 2019:4). The purpose of research is to influence professional practice (Kumar, 2019), for example, this could include reviewing policies and procedures which could impact the outcomes relating to those associated with the context of the study. </w:t>
      </w:r>
      <w:r w:rsidRPr="008F543E">
        <w:rPr>
          <w:b/>
          <w:bCs/>
          <w:lang w:val="en-US"/>
        </w:rPr>
        <w:t>Langdridge and Hagger-Johnson (2013)</w:t>
      </w:r>
      <w:r w:rsidRPr="008F543E">
        <w:rPr>
          <w:lang w:val="en-US"/>
        </w:rPr>
        <w:t xml:space="preserve"> expand upon this, explaining research provides evidence to support claims that are made, meaning that there is evidence which confirms the need to review or amend policies and procedures, for example. To illustrate further, a recent call to reduce teacher workload required evidence to confirm that this was a reliable claim. Accordingly, research by </w:t>
      </w:r>
      <w:r w:rsidRPr="008F543E">
        <w:rPr>
          <w:b/>
          <w:bCs/>
          <w:lang w:val="en-US"/>
        </w:rPr>
        <w:t>Walker et al. (2019)</w:t>
      </w:r>
      <w:r w:rsidRPr="008F543E">
        <w:rPr>
          <w:lang w:val="en-US"/>
        </w:rPr>
        <w:t xml:space="preserve"> on behalf of the Department for Education (DfE) enabled new policies to be enacted to reduce teacher workload.  </w:t>
      </w:r>
    </w:p>
    <w:p w14:paraId="0BA94BEB" w14:textId="454E6198" w:rsidR="008F543E" w:rsidRDefault="008F543E" w:rsidP="008F543E">
      <w:pPr>
        <w:spacing w:line="276" w:lineRule="auto"/>
      </w:pPr>
    </w:p>
    <w:p w14:paraId="501D62D0" w14:textId="77777777" w:rsidR="008F543E" w:rsidRPr="008F543E" w:rsidRDefault="008F543E" w:rsidP="008F543E">
      <w:pPr>
        <w:spacing w:line="276" w:lineRule="auto"/>
      </w:pPr>
      <w:r w:rsidRPr="008F543E">
        <w:rPr>
          <w:lang w:val="en-US"/>
        </w:rPr>
        <w:t>There are a wide range of implications for social research in addition to the example described above. To illustrate, Kumar (2019) shares examples of practice where research has had a positive influence upon a range of professions such as health, education, and business - both directly and indirectly. Furthermore, Kumar (2019) adds that professional practice can be viewed from the perspectives of the service provider; the administrator, manager and/or planner; the consumer and the professional. This is important because each of these perspectives can provide alternative vantage points which can be considered individually or holistically, depending on the aim of the study.  Considering different viewpoints can aid triangulation </w:t>
      </w:r>
      <w:r w:rsidRPr="008F543E">
        <w:rPr>
          <w:b/>
          <w:bCs/>
          <w:lang w:val="en-US"/>
        </w:rPr>
        <w:t>(Cohen et al., 2011)</w:t>
      </w:r>
      <w:r w:rsidRPr="008F543E">
        <w:rPr>
          <w:lang w:val="en-US"/>
        </w:rPr>
        <w:t>, which can provide richer data to examine.</w:t>
      </w:r>
    </w:p>
    <w:p w14:paraId="6B02D058" w14:textId="3B188F03" w:rsidR="008F543E" w:rsidRDefault="008F543E" w:rsidP="008F543E">
      <w:pPr>
        <w:spacing w:line="276" w:lineRule="auto"/>
      </w:pPr>
    </w:p>
    <w:p w14:paraId="4CC73D52" w14:textId="77777777" w:rsidR="008F543E" w:rsidRPr="008F543E" w:rsidRDefault="008F543E" w:rsidP="008F543E">
      <w:pPr>
        <w:spacing w:line="276" w:lineRule="auto"/>
      </w:pPr>
      <w:r w:rsidRPr="008F543E">
        <w:rPr>
          <w:lang w:val="en-US"/>
        </w:rPr>
        <w:t>Nonetheless, research is not without its challenges </w:t>
      </w:r>
      <w:r w:rsidRPr="008F543E">
        <w:rPr>
          <w:b/>
          <w:bCs/>
          <w:lang w:val="en-US"/>
        </w:rPr>
        <w:t xml:space="preserve">(Saunders et al., 2009; </w:t>
      </w:r>
      <w:r w:rsidRPr="008F543E">
        <w:rPr>
          <w:lang w:val="en-US"/>
        </w:rPr>
        <w:t>Kumar, 2019); Kumar (2019) highlights issues relating to resources (including funding), logistical details, and methodological aspects that the researcher(s) would need to be mindful in the planning phases of the research. </w:t>
      </w:r>
      <w:r w:rsidRPr="008F543E">
        <w:rPr>
          <w:b/>
          <w:bCs/>
          <w:lang w:val="en-US"/>
        </w:rPr>
        <w:t>Cohen et al. (2011) </w:t>
      </w:r>
      <w:r w:rsidRPr="008F543E">
        <w:rPr>
          <w:lang w:val="en-US"/>
        </w:rPr>
        <w:t>concur, arguing that there will always be unforeseen problems or difficulties in the research process. </w:t>
      </w:r>
    </w:p>
    <w:p w14:paraId="38332BEC" w14:textId="155786FA" w:rsidR="008F543E" w:rsidRDefault="008F543E" w:rsidP="008F543E">
      <w:pPr>
        <w:spacing w:line="276" w:lineRule="auto"/>
      </w:pPr>
    </w:p>
    <w:p w14:paraId="7D9E344F" w14:textId="77777777" w:rsidR="008F543E" w:rsidRPr="008F543E" w:rsidRDefault="008F543E" w:rsidP="008F543E">
      <w:pPr>
        <w:spacing w:line="276" w:lineRule="auto"/>
      </w:pPr>
      <w:r w:rsidRPr="008F543E">
        <w:rPr>
          <w:lang w:val="en-US"/>
        </w:rPr>
        <w:t>It is evident from the argument presented that research in the social sciences is essential in understanding and developing professional practice (</w:t>
      </w:r>
      <w:r w:rsidRPr="008F543E">
        <w:rPr>
          <w:b/>
          <w:bCs/>
          <w:lang w:val="en-US"/>
        </w:rPr>
        <w:t>Langdridge and Hagger-Johnson, 2013; </w:t>
      </w:r>
      <w:r w:rsidRPr="008F543E">
        <w:rPr>
          <w:lang w:val="en-US"/>
        </w:rPr>
        <w:t>Kumar, 2019), particularly in an evolving and fluid climate impacted by societal and economic influences. Moreover, research in the social sciences should be distinguished from that of the natural sciences </w:t>
      </w:r>
      <w:r w:rsidRPr="008F543E">
        <w:rPr>
          <w:b/>
          <w:bCs/>
          <w:lang w:val="en-US"/>
        </w:rPr>
        <w:t>(Bhattacherjee, 2012).</w:t>
      </w:r>
      <w:r w:rsidRPr="008F543E">
        <w:rPr>
          <w:lang w:val="en-US"/>
        </w:rPr>
        <w:t> Despite its benefits, good research requires researchers who have a comprehensive understanding of the research process, including its limitations, to navigate and mitigate these (</w:t>
      </w:r>
      <w:r w:rsidRPr="008F543E">
        <w:rPr>
          <w:b/>
          <w:bCs/>
          <w:lang w:val="en-US"/>
        </w:rPr>
        <w:t>Cohen et al., 2011;</w:t>
      </w:r>
      <w:r w:rsidRPr="008F543E">
        <w:rPr>
          <w:lang w:val="en-US"/>
        </w:rPr>
        <w:t> Kumar, 2019).</w:t>
      </w:r>
    </w:p>
    <w:p w14:paraId="50ED7E8A" w14:textId="7C42A66E" w:rsidR="008F543E" w:rsidRDefault="008F543E" w:rsidP="008F543E">
      <w:pPr>
        <w:pStyle w:val="Heading1"/>
        <w:rPr>
          <w:color w:val="000000" w:themeColor="text1"/>
          <w:lang w:val="en-US"/>
        </w:rPr>
      </w:pPr>
      <w:r w:rsidRPr="008F543E">
        <w:rPr>
          <w:color w:val="000000" w:themeColor="text1"/>
          <w:lang w:val="en-US"/>
        </w:rPr>
        <w:lastRenderedPageBreak/>
        <w:t xml:space="preserve">References </w:t>
      </w:r>
    </w:p>
    <w:p w14:paraId="23F7D39B" w14:textId="77777777" w:rsidR="008F543E" w:rsidRPr="008F543E" w:rsidRDefault="008F543E" w:rsidP="008F543E">
      <w:pPr>
        <w:rPr>
          <w:lang w:val="en-US"/>
        </w:rPr>
      </w:pPr>
    </w:p>
    <w:p w14:paraId="69D05224" w14:textId="5B3430D8" w:rsidR="008F543E" w:rsidRDefault="008F543E" w:rsidP="008F543E">
      <w:pPr>
        <w:rPr>
          <w:lang w:val="en-US"/>
        </w:rPr>
      </w:pPr>
      <w:r>
        <w:rPr>
          <w:lang w:val="en-US"/>
        </w:rPr>
        <w:t>(Please note this is using Harvard referencing conventions. You would need to adapt for Chicago referencing).</w:t>
      </w:r>
    </w:p>
    <w:p w14:paraId="6F805E1F" w14:textId="77777777" w:rsidR="008F543E" w:rsidRDefault="008F543E" w:rsidP="008F543E">
      <w:pPr>
        <w:rPr>
          <w:lang w:val="en-US"/>
        </w:rPr>
      </w:pPr>
    </w:p>
    <w:p w14:paraId="7F341A5B" w14:textId="59032C88" w:rsidR="008F543E" w:rsidRDefault="008F543E" w:rsidP="008F543E">
      <w:pPr>
        <w:rPr>
          <w:lang w:val="en-US"/>
        </w:rPr>
      </w:pPr>
      <w:r w:rsidRPr="008F543E">
        <w:rPr>
          <w:lang w:val="en-US"/>
        </w:rPr>
        <w:t xml:space="preserve">Bastow, S., Dunleavy, P. and Tinkler, J. (2014) </w:t>
      </w:r>
      <w:r w:rsidRPr="008F543E">
        <w:rPr>
          <w:i/>
          <w:iCs/>
          <w:lang w:val="en-US"/>
        </w:rPr>
        <w:t>The Impact of the Social Sciences: how academics and their research make a difference</w:t>
      </w:r>
      <w:r w:rsidRPr="008F543E">
        <w:rPr>
          <w:lang w:val="en-US"/>
        </w:rPr>
        <w:t>, London: Sage Publications Ltd.</w:t>
      </w:r>
    </w:p>
    <w:p w14:paraId="558142A7" w14:textId="77777777" w:rsidR="008F543E" w:rsidRPr="008F543E" w:rsidRDefault="008F543E" w:rsidP="008F543E"/>
    <w:p w14:paraId="0CE41663" w14:textId="5AE6F182" w:rsidR="008F543E" w:rsidRDefault="008F543E" w:rsidP="008F543E">
      <w:pPr>
        <w:rPr>
          <w:lang w:val="en-US"/>
        </w:rPr>
      </w:pPr>
      <w:r w:rsidRPr="008F543E">
        <w:rPr>
          <w:lang w:val="en-US"/>
        </w:rPr>
        <w:t xml:space="preserve">Bhattacherjee, A. (2012) </w:t>
      </w:r>
      <w:r w:rsidRPr="008F543E">
        <w:rPr>
          <w:i/>
          <w:iCs/>
          <w:lang w:val="en-US"/>
        </w:rPr>
        <w:t>Social Science Research: principles, methods, and practice</w:t>
      </w:r>
      <w:r w:rsidRPr="008F543E">
        <w:rPr>
          <w:lang w:val="en-US"/>
        </w:rPr>
        <w:t>, 2nd edition [Online]. Available from: </w:t>
      </w:r>
      <w:hyperlink r:id="rId4" w:history="1">
        <w:r w:rsidRPr="008F543E">
          <w:rPr>
            <w:rStyle w:val="Hyperlink"/>
            <w:lang w:val="en-US"/>
          </w:rPr>
          <w:t>https://digitalcommons.usf.edu/cgi/viewcontent.cgi?article=1002&amp;context=oa_textbooks</w:t>
        </w:r>
      </w:hyperlink>
      <w:r w:rsidRPr="008F543E">
        <w:rPr>
          <w:lang w:val="en-US"/>
        </w:rPr>
        <w:t> [Accessed 26 October 2022].</w:t>
      </w:r>
    </w:p>
    <w:p w14:paraId="68CBF731" w14:textId="77777777" w:rsidR="008F543E" w:rsidRPr="008F543E" w:rsidRDefault="008F543E" w:rsidP="008F543E"/>
    <w:p w14:paraId="253B9B39" w14:textId="73D71360" w:rsidR="008F543E" w:rsidRDefault="008F543E" w:rsidP="008F543E">
      <w:pPr>
        <w:rPr>
          <w:lang w:val="en-US"/>
        </w:rPr>
      </w:pPr>
      <w:r w:rsidRPr="008F543E">
        <w:rPr>
          <w:lang w:val="en-US"/>
        </w:rPr>
        <w:t xml:space="preserve">Cohen, L., Manion, L. and Morrison, K. (2011) </w:t>
      </w:r>
      <w:r w:rsidRPr="008F543E">
        <w:rPr>
          <w:i/>
          <w:iCs/>
          <w:lang w:val="en-US"/>
        </w:rPr>
        <w:t>Research Methods in Education</w:t>
      </w:r>
      <w:r w:rsidRPr="008F543E">
        <w:rPr>
          <w:lang w:val="en-US"/>
        </w:rPr>
        <w:t>, 7th edition, Abingdon: Routledge.</w:t>
      </w:r>
    </w:p>
    <w:p w14:paraId="1D0F3E64" w14:textId="77777777" w:rsidR="008F543E" w:rsidRPr="008F543E" w:rsidRDefault="008F543E" w:rsidP="008F543E"/>
    <w:p w14:paraId="7ABEA994" w14:textId="6CD9472F" w:rsidR="008F543E" w:rsidRDefault="008F543E" w:rsidP="008F543E">
      <w:pPr>
        <w:rPr>
          <w:lang w:val="en-US"/>
        </w:rPr>
      </w:pPr>
      <w:r w:rsidRPr="008F543E">
        <w:rPr>
          <w:lang w:val="en-US"/>
        </w:rPr>
        <w:t>Kumar, R. (2019) Research Methodology: a step-by-step guide for beginners, 5th edition, London: Sage Publications Ltd.</w:t>
      </w:r>
    </w:p>
    <w:p w14:paraId="668CD381" w14:textId="77777777" w:rsidR="008F543E" w:rsidRPr="008F543E" w:rsidRDefault="008F543E" w:rsidP="008F543E"/>
    <w:p w14:paraId="7F7C84BA" w14:textId="439AD866" w:rsidR="008F543E" w:rsidRDefault="008F543E" w:rsidP="008F543E">
      <w:pPr>
        <w:rPr>
          <w:lang w:val="en-US"/>
        </w:rPr>
      </w:pPr>
      <w:r w:rsidRPr="008F543E">
        <w:rPr>
          <w:lang w:val="en-US"/>
        </w:rPr>
        <w:t xml:space="preserve">Langdridge, D. and Hagger-Johnson, G. (2013) </w:t>
      </w:r>
      <w:r w:rsidRPr="008F543E">
        <w:rPr>
          <w:i/>
          <w:iCs/>
          <w:lang w:val="en-US"/>
        </w:rPr>
        <w:t>Introduction to Research Methods and Data Analysis in Psychology</w:t>
      </w:r>
      <w:r w:rsidRPr="008F543E">
        <w:rPr>
          <w:lang w:val="en-US"/>
        </w:rPr>
        <w:t>, Harlow: Pearson Education Limited.  </w:t>
      </w:r>
    </w:p>
    <w:p w14:paraId="266CA769" w14:textId="77777777" w:rsidR="008F543E" w:rsidRPr="008F543E" w:rsidRDefault="008F543E" w:rsidP="008F543E"/>
    <w:p w14:paraId="66FCDE69" w14:textId="315F1F44" w:rsidR="008F543E" w:rsidRDefault="008F543E" w:rsidP="008F543E">
      <w:pPr>
        <w:rPr>
          <w:lang w:val="en-US"/>
        </w:rPr>
      </w:pPr>
      <w:r w:rsidRPr="008F543E">
        <w:rPr>
          <w:lang w:val="en-US"/>
        </w:rPr>
        <w:t xml:space="preserve">Saunders, M., Lewis, P. and Thornhill, A. (2009) </w:t>
      </w:r>
      <w:r w:rsidRPr="008F543E">
        <w:rPr>
          <w:i/>
          <w:iCs/>
          <w:lang w:val="en-US"/>
        </w:rPr>
        <w:t>Research Methods for Business Students</w:t>
      </w:r>
      <w:r w:rsidRPr="008F543E">
        <w:rPr>
          <w:lang w:val="en-US"/>
        </w:rPr>
        <w:t>, 5th edition, Harlow: Pearson Education Limited. </w:t>
      </w:r>
    </w:p>
    <w:p w14:paraId="293F4F6B" w14:textId="77777777" w:rsidR="008F543E" w:rsidRPr="008F543E" w:rsidRDefault="008F543E" w:rsidP="008F543E"/>
    <w:p w14:paraId="0DED5251" w14:textId="77777777" w:rsidR="008F543E" w:rsidRPr="008F543E" w:rsidRDefault="008F543E" w:rsidP="008F543E">
      <w:r w:rsidRPr="008F543E">
        <w:rPr>
          <w:lang w:val="en-US"/>
        </w:rPr>
        <w:t xml:space="preserve">Walker, M., Worth, J. and Van den Brande, J. (2019) </w:t>
      </w:r>
      <w:r w:rsidRPr="008F543E">
        <w:rPr>
          <w:i/>
          <w:iCs/>
          <w:lang w:val="en-US"/>
        </w:rPr>
        <w:t xml:space="preserve">Teacher Workload Survey 2019: research report </w:t>
      </w:r>
      <w:r w:rsidRPr="008F543E">
        <w:rPr>
          <w:lang w:val="en-US"/>
        </w:rPr>
        <w:t>[Online]. Available from: </w:t>
      </w:r>
      <w:hyperlink r:id="rId5" w:history="1">
        <w:r w:rsidRPr="008F543E">
          <w:rPr>
            <w:rStyle w:val="Hyperlink"/>
            <w:lang w:val="en-US"/>
          </w:rPr>
          <w:t>https://assets.publishing.service.gov.uk/government/uploads/system/uploads/attachment_data/file/855933/teacher_workload_survey_2019_main_report_amended.pdf</w:t>
        </w:r>
      </w:hyperlink>
      <w:r w:rsidRPr="008F543E">
        <w:rPr>
          <w:lang w:val="en-US"/>
        </w:rPr>
        <w:t> [Accessed 26 October 2022].</w:t>
      </w:r>
    </w:p>
    <w:p w14:paraId="251EE7F7" w14:textId="2F7AF621" w:rsidR="008F543E" w:rsidRDefault="008F543E"/>
    <w:sectPr w:rsidR="008F543E" w:rsidSect="0030615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3E"/>
    <w:rsid w:val="001E2EFF"/>
    <w:rsid w:val="00235CD0"/>
    <w:rsid w:val="002659E6"/>
    <w:rsid w:val="00306159"/>
    <w:rsid w:val="00680B63"/>
    <w:rsid w:val="006840AD"/>
    <w:rsid w:val="00694674"/>
    <w:rsid w:val="008F543E"/>
    <w:rsid w:val="009F0281"/>
    <w:rsid w:val="00B2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63E4"/>
  <w14:defaultImageDpi w14:val="32767"/>
  <w15:chartTrackingRefBased/>
  <w15:docId w15:val="{C41D2C76-135E-FD4A-9D02-0C91AD9F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4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43E"/>
    <w:rPr>
      <w:color w:val="0563C1" w:themeColor="hyperlink"/>
      <w:u w:val="single"/>
    </w:rPr>
  </w:style>
  <w:style w:type="character" w:styleId="UnresolvedMention">
    <w:name w:val="Unresolved Mention"/>
    <w:basedOn w:val="DefaultParagraphFont"/>
    <w:uiPriority w:val="99"/>
    <w:rsid w:val="008F543E"/>
    <w:rPr>
      <w:color w:val="605E5C"/>
      <w:shd w:val="clear" w:color="auto" w:fill="E1DFDD"/>
    </w:rPr>
  </w:style>
  <w:style w:type="paragraph" w:styleId="Title">
    <w:name w:val="Title"/>
    <w:basedOn w:val="Normal"/>
    <w:next w:val="Normal"/>
    <w:link w:val="TitleChar"/>
    <w:uiPriority w:val="10"/>
    <w:qFormat/>
    <w:rsid w:val="008F54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F54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5345">
      <w:bodyDiv w:val="1"/>
      <w:marLeft w:val="0"/>
      <w:marRight w:val="0"/>
      <w:marTop w:val="0"/>
      <w:marBottom w:val="0"/>
      <w:divBdr>
        <w:top w:val="none" w:sz="0" w:space="0" w:color="auto"/>
        <w:left w:val="none" w:sz="0" w:space="0" w:color="auto"/>
        <w:bottom w:val="none" w:sz="0" w:space="0" w:color="auto"/>
        <w:right w:val="none" w:sz="0" w:space="0" w:color="auto"/>
      </w:divBdr>
    </w:div>
    <w:div w:id="588006956">
      <w:bodyDiv w:val="1"/>
      <w:marLeft w:val="0"/>
      <w:marRight w:val="0"/>
      <w:marTop w:val="0"/>
      <w:marBottom w:val="0"/>
      <w:divBdr>
        <w:top w:val="none" w:sz="0" w:space="0" w:color="auto"/>
        <w:left w:val="none" w:sz="0" w:space="0" w:color="auto"/>
        <w:bottom w:val="none" w:sz="0" w:space="0" w:color="auto"/>
        <w:right w:val="none" w:sz="0" w:space="0" w:color="auto"/>
      </w:divBdr>
    </w:div>
    <w:div w:id="595402367">
      <w:bodyDiv w:val="1"/>
      <w:marLeft w:val="0"/>
      <w:marRight w:val="0"/>
      <w:marTop w:val="0"/>
      <w:marBottom w:val="0"/>
      <w:divBdr>
        <w:top w:val="none" w:sz="0" w:space="0" w:color="auto"/>
        <w:left w:val="none" w:sz="0" w:space="0" w:color="auto"/>
        <w:bottom w:val="none" w:sz="0" w:space="0" w:color="auto"/>
        <w:right w:val="none" w:sz="0" w:space="0" w:color="auto"/>
      </w:divBdr>
    </w:div>
    <w:div w:id="711075319">
      <w:bodyDiv w:val="1"/>
      <w:marLeft w:val="0"/>
      <w:marRight w:val="0"/>
      <w:marTop w:val="0"/>
      <w:marBottom w:val="0"/>
      <w:divBdr>
        <w:top w:val="none" w:sz="0" w:space="0" w:color="auto"/>
        <w:left w:val="none" w:sz="0" w:space="0" w:color="auto"/>
        <w:bottom w:val="none" w:sz="0" w:space="0" w:color="auto"/>
        <w:right w:val="none" w:sz="0" w:space="0" w:color="auto"/>
      </w:divBdr>
    </w:div>
    <w:div w:id="1162281626">
      <w:bodyDiv w:val="1"/>
      <w:marLeft w:val="0"/>
      <w:marRight w:val="0"/>
      <w:marTop w:val="0"/>
      <w:marBottom w:val="0"/>
      <w:divBdr>
        <w:top w:val="none" w:sz="0" w:space="0" w:color="auto"/>
        <w:left w:val="none" w:sz="0" w:space="0" w:color="auto"/>
        <w:bottom w:val="none" w:sz="0" w:space="0" w:color="auto"/>
        <w:right w:val="none" w:sz="0" w:space="0" w:color="auto"/>
      </w:divBdr>
    </w:div>
    <w:div w:id="1438721329">
      <w:bodyDiv w:val="1"/>
      <w:marLeft w:val="0"/>
      <w:marRight w:val="0"/>
      <w:marTop w:val="0"/>
      <w:marBottom w:val="0"/>
      <w:divBdr>
        <w:top w:val="none" w:sz="0" w:space="0" w:color="auto"/>
        <w:left w:val="none" w:sz="0" w:space="0" w:color="auto"/>
        <w:bottom w:val="none" w:sz="0" w:space="0" w:color="auto"/>
        <w:right w:val="none" w:sz="0" w:space="0" w:color="auto"/>
      </w:divBdr>
    </w:div>
    <w:div w:id="16390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sets.publishing.service.gov.uk/government/uploads/system/uploads/attachment_data/file/855933/teacher_workload_survey_2019_main_report_amended.pdf" TargetMode="External"/><Relationship Id="rId4" Type="http://schemas.openxmlformats.org/officeDocument/2006/relationships/hyperlink" Target="https://digitalcommons.usf.edu/cgi/viewcontent.cgi?article=1002&amp;context=oa_text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chilvers</dc:creator>
  <cp:keywords/>
  <dc:description/>
  <cp:lastModifiedBy>Eliza Bebb</cp:lastModifiedBy>
  <cp:revision>2</cp:revision>
  <dcterms:created xsi:type="dcterms:W3CDTF">2023-03-02T10:48:00Z</dcterms:created>
  <dcterms:modified xsi:type="dcterms:W3CDTF">2023-03-02T10:48:00Z</dcterms:modified>
</cp:coreProperties>
</file>